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华北地质勘查局五一九大队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承担国家和地方地质勘查任务,负责物探检测、工程测量与勘查，矿产资源化验</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华北地质勘查局五一九大队（内设12个职能科室）。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华北地质勘查局五一九大队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70128339.14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4952000.00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1706000.00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56337.49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93320913.49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98074276.63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99978913.49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9361457.97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-47949432.35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-40492611.24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-47949432.35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59486302.25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59486302.25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98074276.63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70128339.14</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56337.49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4952000.00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3301000.00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3301000.00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1706000.00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1083000.00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1083000.00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623000.00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91416276.63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21231600.00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70128339.14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56337.49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91416276.63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21231600.00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70128339.14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56337.49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91416276.63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21231600.00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70128339.14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56337.49</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59486302.25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98074276.63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27889600.00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70128339.14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56337.49</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615206</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59486302.25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98074276.63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27889600.00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70128339.14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56337.49</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-38587974.38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-38587974.38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-38587974.38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615206</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华北地质勘查局五一九大队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-38587974.38</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-38587974.38</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-38587974.38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99978913.49</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37307395.46</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93320913.49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30649395.46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93320913.49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30649395.46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93320913.49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30649395.46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62671518.03</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4952000.00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4952000.00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1706000.00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1706000.00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21231600.00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21231600.00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27889600.00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华北地质勘查局五一九大队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27889600.00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4952000.00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3301000.00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1706000.00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623000.00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21231600.00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25755620.00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11719107.70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5182792.30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3301000.00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1651000.00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1679720.00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2133980.00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2107700.00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26280.00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27889600.00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华北地质勘查局五一九大队2025年度政府性基金预算财政拨款收入支出决算表为空表。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华北地质勘查局五一九大队2025年度国有资本经营预算财政拨款收入支出决算表为空表。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华北地质勘查局五一九大队2025年财政拨款“三公”经费支出决算表为空表。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华北地质勘查局五一九大队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华北地质勘查局五一九大队2025年项目支出决算表为空表。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59,486,302.25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增加20,598,584.27元，增长52.97%</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事业单位经营收入、经营支出增加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一般公共预算财政拨款收入27,889,600.00元、事业单位经营收入70,128,339.14元、其他收入56,337.49元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社会保障和就业支出4,952,000.00元、卫生健康支出1,706,000.00元、自然资源海洋气象等支出93,320,913.49元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98,074,276.63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增加10,518,694.46元，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一般公共预算财政拨款收入27,889,600.00元，占28.44%；事业单位经营收入70,128,339.14元，占71.51%；其他收入56,337.49元，占0.05%</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99,978,913.49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增加13,141,763.16元，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基本支出37,307,395.46元，占37.32%；经营支出62,671,518.03元，占62.68%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27,889,600.00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减少2,394,200.00元，下降7.91%，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一般公共预算财政拨款27,889,600.00元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社会保障和就业支出4,952,000.00元、卫生健康支出1,706,000.00元、自然资源海洋气象等支出21,231,600.00元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华北地质勘查局五一九大队2025年度一般公共预算财政拨款支出合计27,889,600.00元，占本年支出合计的27.90%。与2024年度相比，一般公共预算财政拨款支出</w:t>
      </w:r>
      <w:r>
        <w:rPr>
          <w:rFonts w:eastAsia="仿宋_GB2312" w:hint="eastAsia"/>
          <w:sz w:val="30"/>
          <w:szCs w:val="30"/>
          <w:highlight w:val="none"/>
          <w:lang w:val="en-US" w:eastAsia="zh-CN"/>
        </w:rPr>
        <w:t xml:space="preserve">减少2,394,200.00元</w:t>
      </w:r>
      <w:r>
        <w:rPr>
          <w:rFonts w:eastAsia="仿宋_GB2312" w:hint="eastAsia"/>
          <w:sz w:val="30"/>
          <w:szCs w:val="30"/>
          <w:highlight w:val="none"/>
          <w:lang w:val="en-US" w:eastAsia="zh-CN"/>
        </w:rPr>
        <w:t xml:space="preserve">，下降7.91%</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2025年度一般公共预算财政拨款支出27,889,600.00元，主要用于以下方面：</w:t>
      </w:r>
      <w:r>
        <w:rPr>
          <w:rFonts w:eastAsia="仿宋_GB2312" w:hint="eastAsia"/>
          <w:sz w:val="30"/>
          <w:szCs w:val="30"/>
          <w:highlight w:val="none"/>
        </w:rPr>
        <w:t xml:space="preserve">社会保障和就业支出（类）支出4,952,000.00元，占17.76%，卫生健康支出（类）支出1,706,000.00元，占6.12%，自然资源海洋气象等支出（类）支出21,231,600.00元，占76.12%</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2025年度一般公共预算财政拨款支出年初预算为26,710,000.00元，支出决算为27,889,600.00元</w:t>
      </w:r>
      <w:r>
        <w:rPr>
          <w:rFonts w:eastAsia="仿宋_GB2312" w:hint="eastAsia"/>
          <w:sz w:val="30"/>
          <w:szCs w:val="30"/>
          <w:highlight w:val="none"/>
          <w:lang w:val="en-US" w:eastAsia="zh-CN"/>
        </w:rPr>
        <w:t xml:space="preserve">，完成年初预算的104.42%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3,301,000.00元，支出决算为3,301,000.00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1,651,000.00元，支出决算为1,651,000.00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1,083,000.00元，支出决算为1,083,000.00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623,000.00元，支出决算为623,000.00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20,052,000.00元，支出决算为21,231,600.00元，完成年初预算的105.88%，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华北地质勘查局五一九大队2025年度一般公共预算财政拨款基本支出合计27,889,600.00元，与2024年度相比</w:t>
      </w:r>
      <w:r>
        <w:rPr>
          <w:rFonts w:eastAsia="仿宋_GB2312" w:hint="eastAsia"/>
          <w:sz w:val="30"/>
          <w:szCs w:val="30"/>
          <w:highlight w:val="none"/>
          <w:lang w:val="en-US" w:eastAsia="zh-CN"/>
        </w:rPr>
        <w:t xml:space="preserve">减少2,394,200.00元，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人员经费27,889,600.00元，主要包括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华北地质勘查局五一九大队2025年度无政府采购支出。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截至2025年12月31日，华北地质勘查局五一九大队共有车辆1辆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机要通信用车1辆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华北地质勘查局五一九大队2025年度没有项目支出，无需开展绩效自评。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华北地质勘查局五一九大队不属于乡、镇、街级单位，不涉及公开2025年度教育、医疗卫生、社会保障和就业、住房保障、涉农补贴等民生支出情况。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4C51F9CE-537C-42BB-BB4A-7B3B724125D4}"/>
    <w:embedBold r:id="rId2" w:subsetted="1" w:fontKey="{201F42E5-48C7-47F4-AD7F-064C75D82281}"/>
  </w:font>
  <w:font w:name="Cambria">
    <w:panose1 w:val="02040503050406030204"/>
    <w:charset w:val="00"/>
    <w:family w:val="roman"/>
    <w:pitch w:val="default"/>
    <w:sig w:usb0="E00006FF" w:usb1="420024FF" w:usb2="02000000" w:usb3="00000000" w:csb0="2000019F" w:csb1="00000000"/>
    <w:embedRegular r:id="rId3" w:fontKey="{0F792ADC-6DB0-4F18-8B08-0E227B46D907}"/>
  </w:font>
  <w:font w:name="Calibri">
    <w:panose1 w:val="020F0502020204030204"/>
    <w:charset w:val="00"/>
    <w:family w:val="swiss"/>
    <w:pitch w:val="default"/>
    <w:sig w:usb0="E4002EFF" w:usb1="C200247B" w:usb2="00000009" w:usb3="00000000" w:csb0="200001FF" w:csb1="00000000"/>
    <w:embedRegular r:id="rId4" w:fontKey="{4D798B26-E271-45B0-AFDA-61B3BA82D1FE}"/>
  </w:font>
  <w:font w:name="黑体">
    <w:panose1 w:val="02010609060101010101"/>
    <w:charset w:val="FFFFFF86"/>
    <w:family w:val="auto"/>
    <w:pitch w:val="default"/>
    <w:sig w:usb0="800002BF" w:usb1="38CF7CFA" w:usb2="00000016" w:usb3="00000000" w:csb0="00040001" w:csb1="00000000"/>
    <w:embedRegular r:id="rId5" w:subsetted="1" w:fontKey="{7A398381-1ACE-4C64-8C84-A37D114D6171}"/>
    <w:embedBold r:id="rId6" w:subsetted="1" w:fontKey="{652A0A2B-CB53-40B3-A41F-5D2196F650B5}"/>
  </w:font>
  <w:font w:name="方正小标宋简体">
    <w:altName w:val="黑体"/>
    <w:panose1 w:val="02000000000000000000"/>
    <w:charset w:val="FFFFFF86"/>
    <w:family w:val="auto"/>
    <w:pitch w:val="default"/>
    <w:sig w:usb0="00000001" w:usb1="08000000" w:usb2="00000000" w:usb3="00000000" w:csb0="00040000" w:csb1="00000000"/>
    <w:embedRegular r:id="rId7" w:fontKey="{D64863EF-3AF3-4EF4-B573-4E76F4C0D060}"/>
    <w:embedBold r:id="rId8" w:fontKey="{EC9AAA56-0A4A-439E-8213-36D4D5D9C365}"/>
  </w:font>
  <w:font w:name="仿宋">
    <w:panose1 w:val="02010609060101010101"/>
    <w:charset w:val="FFFFFF86"/>
    <w:family w:val="auto"/>
    <w:pitch w:val="default"/>
    <w:sig w:usb0="800002BF" w:usb1="38CF7CFA" w:usb2="00000016" w:usb3="00000000" w:csb0="00040001" w:csb1="00000000"/>
    <w:embedRegular r:id="rId9" w:subsetted="1" w:fontKey="{C52A2D55-2CBF-43B8-8231-BDB1A6DE2BCF}"/>
  </w:font>
  <w:font w:name="方正仿宋_GB2312">
    <w:altName w:val="仿宋"/>
    <w:panose1 w:val="02000000000000000000"/>
    <w:charset w:val="FFFFFF86"/>
    <w:family w:val="auto"/>
    <w:pitch w:val="default"/>
    <w:sig w:usb0="A00002BF" w:usb1="184F6CFA" w:usb2="00000012" w:usb3="00000000" w:csb0="00040001" w:csb1="00000000"/>
    <w:embedRegular r:id="rId10" w:fontKey="{9CB8C479-8AAB-40FF-BADB-2656EFE53169}"/>
  </w:font>
  <w:font w:name="仿宋_GB2312">
    <w:altName w:val="仿宋"/>
    <w:panose1 w:val="02010609030101010101"/>
    <w:charset w:val="FFFFFF86"/>
    <w:family w:val="auto"/>
    <w:pitch w:val="default"/>
    <w:sig w:usb0="00000001" w:usb1="080E0000" w:usb2="00000000" w:usb3="00000000" w:csb0="00040000" w:csb1="00000000"/>
    <w:embedRegular r:id="rId11" w:fontKey="{A0465640-771F-46AA-93A6-CC1371A2F783}"/>
  </w:font>
  <w:font w:name="方正楷体_GB2312">
    <w:altName w:val="宋体"/>
    <w:panose1 w:val="02000000000000000000"/>
    <w:charset w:val="FFFFFF86"/>
    <w:family w:val="auto"/>
    <w:pitch w:val="default"/>
    <w:sig w:usb0="A00002BF" w:usb1="184F6CFA" w:usb2="00000012" w:usb3="00000000" w:csb0="00040001" w:csb1="00000000"/>
    <w:embedRegular r:id="rId12" w:fontKey="{6CE1270D-234A-4694-9CD5-9BDFF12F70A6}"/>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013A98EF-01C0-4B2B-AF81-8CCABF197C81}"/>
    <w:embedBold r:id="rId14" w:subsetted="1" w:fontKey="{AF6CF9D4-A26C-4733-B6DC-CA1449D66649}"/>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